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5500 MV4555HL-PH-Mode 5</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5. Bedarfsgeführt. Konstanter Luftvolumenstrom mit CO²-Sensor parametriert. Integrierter CO²-Sensor.</w:t>
      </w:r>
    </w:p>
    <w:p/>
    <w:p>
      <w:pPr/>
      <w:r>
        <w:rPr>
          <w:rFonts w:ascii="Arial" w:hAnsi="Arial" w:eastAsia="Arial" w:cs="Arial"/>
          <w:sz w:val="24"/>
          <w:szCs w:val="24"/>
        </w:rPr>
        <w:t xml:space="preserve">Elektrovorheizregister [PH]</w:t>
      </w:r>
    </w:p>
    <w:p>
      <w:pPr/>
      <w:r>
        <w:rPr>
          <w:rFonts w:ascii="Arial" w:hAnsi="Arial" w:eastAsia="Arial" w:cs="Arial"/>
          <w:sz w:val="24"/>
          <w:szCs w:val="24"/>
        </w:rPr>
        <w:t xml:space="preserve">Ein Elektrovorheizregister [PH] verhindert die Einfriergefahr des Plattenwärmetauschers bei niedrigen Außentemperaturen in Abhängigkeit des Frostschutzfühlers bis ca. -20°C.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5500 MV4555HL-PH-Mode 5</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Linksausführung: Zuluft- und Abluftanschluss links  / E-Vorheizregister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1.000 m³/h / 6.900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5.500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1205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CO2-Bedarfsgeführt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42,9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50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1.840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1.067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1.225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1.225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3.240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1.334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1.434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1.496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1.750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1.915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PH (Frostschutz):</w:t>
            </w:r>
          </w:p>
        </w:tc>
        <w:tc>
          <w:tcPr>
            <w:tcW w:w="3000" w:type="dxa"/>
          </w:tcPr>
          <w:p>
            <w:pPr>
              <w:jc w:val="right"/>
              <w:spacing w:before="0" w:after="0.1"/>
            </w:pPr>
            <w:r>
              <w:rPr>
                <w:rFonts w:ascii="Arial" w:hAnsi="Arial" w:eastAsia="Arial" w:cs="Arial"/>
                <w:sz w:val="20"/>
                <w:szCs w:val="20"/>
              </w:rPr>
              <w:t xml:space="preserve">18.000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82,6%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4045314987407</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0040.2789</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5500 MV4555HL-PH-Mode 5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2024-06-02T15:22:28+00:00</dcterms:created>
  <dcterms:modified xsi:type="dcterms:W3CDTF">2024-06-02T15:22:28+00:00</dcterms:modified>
</cp:coreProperties>
</file>

<file path=docProps/custom.xml><?xml version="1.0" encoding="utf-8"?>
<Properties xmlns="http://schemas.openxmlformats.org/officeDocument/2006/custom-properties" xmlns:vt="http://schemas.openxmlformats.org/officeDocument/2006/docPropsVTypes"/>
</file>