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3700 ZXA-R / WN</w:t>
      </w:r>
    </w:p>
    <w:p>
      <w:pPr/>
      <w:r>
        <w:rPr>
          <w:rFonts w:ascii="Arial" w:hAnsi="Arial" w:eastAsia="Arial" w:cs="Arial"/>
          <w:sz w:val="24"/>
          <w:szCs w:val="24"/>
        </w:rPr>
        <w:t xml:space="preserve">Kompaktlüftungsgerät mit Wärmerückgewinnung Reco-Boxx ZXA</w:t>
      </w:r>
    </w:p>
    <w:p>
      <w:pPr/>
      <w:r>
        <w:rPr>
          <w:rFonts w:ascii="Arial" w:hAnsi="Arial" w:eastAsia="Arial" w:cs="Arial"/>
          <w:sz w:val="24"/>
          <w:szCs w:val="24"/>
        </w:rPr>
        <w:t xml:space="preserve">Kompaktes, hochwertiges Wärmerückgewinnungs-Zentrallüftungsgerät mit Kreuz-Gegenstromwärmetauscher. Platzsparende Bauweise mit oben liegenden Luftanschlüssen. Hocheffiziente, extrem energiesparende EC-High-Tech Gleichstromventilatoren. Wahlweise druck- bzw. volumenstromkonstanter Betrieb oder konstantes Drehmoment möglich. Anschlussfertig verdrahtet, inkl. Hauptschalter. ErP-konform. Passivhausgeeignet. VDI 6022-konform.</w:t>
      </w:r>
    </w:p>
    <w:p>
      <w:pPr/>
      <w:r>
        <w:rPr>
          <w:rFonts w:ascii="Arial" w:hAnsi="Arial" w:eastAsia="Arial" w:cs="Arial"/>
          <w:sz w:val="24"/>
          <w:szCs w:val="24"/>
        </w:rPr>
        <w:t xml:space="preserve">EN 1886-Klassifizierung: T3/F9/L2/D1. Wirkungsgrad des Kreuz-Gegenstromwärmetauschers: &gt; 91% nach DIN EN 13141-7; bis 84% nach ErP Ecodesignrichtlinie 1253/2014.</w:t>
      </w:r>
    </w:p>
    <w:p>
      <w:pPr/>
      <w:r>
        <w:rPr>
          <w:rFonts w:ascii="Arial" w:hAnsi="Arial" w:eastAsia="Arial" w:cs="Arial"/>
          <w:sz w:val="24"/>
          <w:szCs w:val="24"/>
        </w:rPr>
        <w:t xml:space="preserve">Integrierter modulierender 0-100%-Bypass zur freien Kühlung sowie für Frostschutz aktivierbar. Inklusiv großzügig bemessener Plisseefilter nach DIN EN ISO 16890 (ePM 1 60%) für Außenluft und (ePM 10 50%) für Abluft. Filterkaskade für Außenluft vorbereitet.</w:t>
      </w:r>
    </w:p>
    <w:p>
      <w:pPr/>
      <w:r>
        <w:rPr>
          <w:rFonts w:ascii="Arial" w:hAnsi="Arial" w:eastAsia="Arial" w:cs="Arial"/>
          <w:sz w:val="24"/>
          <w:szCs w:val="24"/>
        </w:rPr>
        <w:t xml:space="preserve">Sehr leiser Betrieb durch optional integrierbare Schalldämmkulisse im Zuluftkanal innerhalb des Kompaktlüftungsgerätes. ErP-optimiertes Gehäusekonzept in Kompaktbauweise aus Aluminiumprofilen und 50 mm wärmegedämmten, doppelwandigen Sandwichelementen, galvanisch verzinkt, außen vorlackierter Stahl in RAL 7016.</w:t>
      </w:r>
    </w:p>
    <w:p>
      <w:pPr/>
      <w:r>
        <w:rPr>
          <w:rFonts w:ascii="Arial" w:hAnsi="Arial" w:eastAsia="Arial" w:cs="Arial"/>
          <w:sz w:val="24"/>
          <w:szCs w:val="24"/>
        </w:rPr>
        <w:t xml:space="preserve">Leicht revisionierbar durch vollflächig öffenbare und abnehmbare Revisionstüren.</w:t>
      </w:r>
    </w:p>
    <w:p>
      <w:pPr/>
      <w:r>
        <w:rPr>
          <w:rFonts w:ascii="Arial" w:hAnsi="Arial" w:eastAsia="Arial" w:cs="Arial"/>
          <w:sz w:val="24"/>
          <w:szCs w:val="24"/>
        </w:rPr>
        <w:t xml:space="preserve">Gehäuse und Revisionstüren VDE-konform geerdet.</w:t>
      </w:r>
    </w:p>
    <w:p>
      <w:pPr/>
      <w:r>
        <w:rPr>
          <w:rFonts w:ascii="Arial" w:hAnsi="Arial" w:eastAsia="Arial" w:cs="Arial"/>
          <w:sz w:val="24"/>
          <w:szCs w:val="24"/>
        </w:rPr>
        <w:t xml:space="preserve">Verzinkter Grundrahmen mit Erdungsanschluss.</w:t>
      </w:r>
    </w:p>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 via APP-Oberfläche für windows &amp; Android.</w:t>
      </w:r>
    </w:p>
    <w:p>
      <w:pPr/>
      <w:r>
        <w:rPr>
          <w:rFonts w:ascii="Arial" w:hAnsi="Arial" w:eastAsia="Arial" w:cs="Arial"/>
          <w:sz w:val="24"/>
          <w:szCs w:val="24"/>
        </w:rPr>
        <w:t xml:space="preserve">BACnet-Gateway zur Kommunikation mit den Reco-Boxxen über ein BACnet TCP/IP-Protokoll. Als Netzwerkschnittstelle wird je RLT-Gerät ein SAT ETHERNET benötigt.</w:t>
      </w:r>
    </w:p>
    <w:p>
      <w:pPr/>
      <w:r>
        <w:rPr>
          <w:rFonts w:ascii="Arial" w:hAnsi="Arial" w:eastAsia="Arial" w:cs="Arial"/>
          <w:sz w:val="24"/>
          <w:szCs w:val="24"/>
        </w:rPr>
        <w:t xml:space="preserve">Interface SAT WiFi (W-LAN) zur Konfiguration, Visualisierung und operativen Kontrolle mittels MODBUS TCP/IP-Protokoll via APP-Oberfläche für windows &amp; Android.</w:t>
      </w:r>
    </w:p>
    <w:p>
      <w:pPr/>
      <w:r>
        <w:rPr>
          <w:rFonts w:ascii="Arial" w:hAnsi="Arial" w:eastAsia="Arial" w:cs="Arial"/>
          <w:sz w:val="24"/>
          <w:szCs w:val="24"/>
        </w:rPr>
        <w:t xml:space="preserve">VAV-Regelung: Bei druckkonstantem Betrieb mit variablem Volumenstrom (VAV-Regelung) sind ein bzw. bei getrennter Zu-/Abluftregelung zwei externe Drucksensoren z.B. DDT 500 (Art.-Nr. 0043.0597) notwendig.</w:t>
      </w:r>
    </w:p>
    <w:p>
      <w:pPr/>
      <w:r>
        <w:rPr>
          <w:rFonts w:ascii="Arial" w:hAnsi="Arial" w:eastAsia="Arial" w:cs="Arial"/>
          <w:sz w:val="24"/>
          <w:szCs w:val="24"/>
        </w:rPr>
        <w:t xml:space="preserve">DDM-Set (Art.-Nr. 0043.1118) für volumenstromkonstanten Betrieb (CA-, LS-Modus) und zur Ermittlung des Volumenstromes im druckkonstanten Betrieb (CPs-Modus) zwingend erforderlich. Wird werkseitig betriebsfertig installiert.</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&gt; 91% Wirkungsgrad nach DIN EN 13141-7; bis 84% Wirkungsgrad nach ErP Ecodesignrichtlinie 1253/2014. Wärmetauscher aus seewasserbeständigem Aluminium, temperaturbeständig zwischen - 30 °C und + 100 °C.</w:t>
      </w:r>
    </w:p>
    <w:p>
      <w:pPr/>
      <w:r>
        <w:rPr>
          <w:rFonts w:ascii="Arial" w:hAnsi="Arial" w:eastAsia="Arial" w:cs="Arial"/>
          <w:sz w:val="24"/>
          <w:szCs w:val="24"/>
        </w:rPr>
        <w:t xml:space="preserve">Bürstenlose 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Integrierter Blockierschutz, Phasenausfallerkennung, Sanftanlauf, Übertemperaturschutz, Kurzschlussschutz. 2D-Radiallaufrad aus 100% recyclebarem Bio-Polyamid-Verbundwerkstoff mit Umlaufdiffusor und strömungsoptimierter Einströmdüse mit Messstutzen aufgebaut auf einen elektronisch kommutierten EC-Außenläufermotor mit integrierter Elektronik. Motorschutzklasse: IP54. Komplette Ventilatoreinheit statisch und dynamisch ausgewuchtet gemäß ISO 1940, Klassifizierung: G6.3. Bei druckkonstantem Betrieb ist zusätzlich ein bzw. bei getrennter Zu-/Abluftregelung zwei Drucksensor(en) z.B. DDT 500 (Art.-Nr. 0043.0597)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ErP-optimiertes Gehäusekonzept in Kompaktbauweise aus Aluminiumprofilen und 50 mm wärmegedämmten, doppelwandigen Sandwichelementen mit leicht zu entfernender Schutzfolie für Transport und Montage, galvanisch verzinkt, außen vorlackierter Stahl in RAL 7016. Mineralfaserdämmung nach DIN 4102 A1 für beste Schall- und Wärmedämmung.</w:t>
      </w:r>
    </w:p>
    <w:p>
      <w:pPr/>
      <w:r>
        <w:rPr>
          <w:rFonts w:ascii="Arial" w:hAnsi="Arial" w:eastAsia="Arial" w:cs="Arial"/>
          <w:sz w:val="24"/>
          <w:szCs w:val="24"/>
        </w:rPr>
        <w:t xml:space="preserve">Gehäuseaufbau auf 125 mm hohem, selbstragendem Grundrahmen mit Erdungsanschluss montiert. Vorgesehene Aussparungen für Gabelstaplertransport, 48 mm Öffnungen für Krantransport.</w:t>
      </w:r>
    </w:p>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Gehäuse(U):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
      <w:pPr/>
      <w:r>
        <w:rPr>
          <w:rFonts w:ascii="Arial" w:hAnsi="Arial" w:eastAsia="Arial" w:cs="Arial"/>
          <w:sz w:val="24"/>
          <w:szCs w:val="24"/>
        </w:rPr>
        <w:t xml:space="preserve">Revisionstüren zur Wartung vollflächig nach außen öffenbar und leicht abnehmbar. VDE-geerdet. Mit umlaufender, dauerelastischer Dichtung und abschließbaren Dreh-Knebelverschlüssen.</w:t>
      </w:r>
    </w:p>
    <w:p>
      <w:pPr/>
      <w:r>
        <w:rPr>
          <w:rFonts w:ascii="Arial" w:hAnsi="Arial" w:eastAsia="Arial" w:cs="Arial"/>
          <w:sz w:val="24"/>
          <w:szCs w:val="24"/>
        </w:rPr>
        <w:t xml:space="preserve">Filterkonzept: großzügig bemessene Plisseefilter mit langer Standzeit nach DIN EN ISO 16890 (ePM 1 70%) für Außenluft und (ePM 10 50%) für Abluft. Vorbereitet für optionale Filterkaskade mit Vorfilter ISO Coarse &gt; 60% in der Außenluftkammer.</w:t>
      </w:r>
    </w:p>
    <w:p>
      <w:pPr/>
      <w:r>
        <w:rPr>
          <w:rFonts w:ascii="Arial" w:hAnsi="Arial" w:eastAsia="Arial" w:cs="Arial"/>
          <w:sz w:val="24"/>
          <w:szCs w:val="24"/>
        </w:rPr>
        <w:t xml:space="preserve">Filterüberwachung mit Filterwechselanzeige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Vorfilter (Außenluft) [VF]</w:t>
      </w:r>
    </w:p>
    <w:p>
      <w:pPr/>
      <w:r>
        <w:rPr>
          <w:rFonts w:ascii="Arial" w:hAnsi="Arial" w:eastAsia="Arial" w:cs="Arial"/>
          <w:sz w:val="24"/>
          <w:szCs w:val="24"/>
        </w:rPr>
        <w:t xml:space="preserve">Integrierter Zuluftschalldämpfer [GD]</w:t>
      </w:r>
    </w:p>
    <w:p>
      <w:pPr/>
      <w:r>
        <w:rPr>
          <w:rFonts w:ascii="Arial" w:hAnsi="Arial" w:eastAsia="Arial" w:cs="Arial"/>
          <w:sz w:val="24"/>
          <w:szCs w:val="24"/>
        </w:rPr>
        <w:t xml:space="preserve">Verschlussklappen, motorisch [VM]; optional mit Federrücklauf</w:t>
      </w:r>
    </w:p>
    <w:p>
      <w:pPr/>
      <w:r>
        <w:rPr>
          <w:rFonts w:ascii="Arial" w:hAnsi="Arial" w:eastAsia="Arial" w:cs="Arial"/>
          <w:sz w:val="24"/>
          <w:szCs w:val="24"/>
        </w:rPr>
        <w:t xml:space="preserve">Externe Nachheiz- oder Kühlregister [NHKR]</w:t>
      </w:r>
    </w:p>
    <w:p>
      <w:pPr/>
      <w:r>
        <w:rPr>
          <w:rFonts w:ascii="Arial" w:hAnsi="Arial" w:eastAsia="Arial" w:cs="Arial"/>
          <w:sz w:val="24"/>
          <w:szCs w:val="24"/>
        </w:rPr>
        <w:t xml:space="preserve">Die Reco-Boxx Modellreihe ZXA wird mit der Regelung (Hauptregelplatine / CTR-i/o-Modul) und Hauptschalter/Reparaturschalter verkabelt, geerdet und stückgeprüft ausgeliefert. Dies schließt alle notwendigen Teile wie Temperaturfühler, Ventilatoren, Controller, Hauptschalter, Antrieb der Bypass-Klappe sowie die optionalen Heizregister für Elektro-Vorheizung (EV) und Elektro-Nachheizung (EN)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der integrierten Regelung:</w:t>
      </w:r>
    </w:p>
    <w:p>
      <w:pPr/>
      <w:r>
        <w:rPr>
          <w:rFonts w:ascii="Arial" w:hAnsi="Arial" w:eastAsia="Arial" w:cs="Arial"/>
          <w:sz w:val="24"/>
          <w:szCs w:val="24"/>
        </w:rPr>
        <w:t xml:space="preserve">Hauptplatine im gehäuseintegrierten Anschlusskasten – Ein-/Ausgabeeinheit mit Controller, werkseitig vorverdrahtet. Alle noch notwendigen Anschlüsse für Steuermodule, SAT-Relais und optionale Feldgeräte (z. B. Lüftungsrauchschalter, Drucksensoren, Raumsensoren etc.)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(konstantes Drehmoment).</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Regelung von optionalen internen und externen Heiz- und Kühlregistern mittels Zusatzrelais.</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Ausgabe aktueller Werte an Steuermodule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
      <w:pPr/>
      <w:r>
        <w:rPr>
          <w:rFonts w:ascii="Arial" w:hAnsi="Arial" w:eastAsia="Arial" w:cs="Arial"/>
          <w:sz w:val="24"/>
          <w:szCs w:val="24"/>
        </w:rPr>
        <w:t xml:space="preserve">Wasser-/Luft-Nachheizregister [WN]</w:t>
      </w:r>
    </w:p>
    <w:p>
      <w:pPr/>
      <w:r>
        <w:rPr>
          <w:rFonts w:ascii="Arial" w:hAnsi="Arial" w:eastAsia="Arial" w:cs="Arial"/>
          <w:sz w:val="24"/>
          <w:szCs w:val="24"/>
        </w:rPr>
        <w:t xml:space="preserve">Ein Wasser-/Luft-Nachheizregister WN ermöglicht eine konstante Regelung der Zulufttemperatur. Das Luft-/Wasser-Nachheizregister WN ist anschlussfertig in der Reco-Boxx ZXA eingebaut und mit einer Regelung versehen, die eine um bis zu 19 Kelvin erhöhte Zulufttemperatur gegenüber der Temperatur nach dem Luft-Wärmetauscher ermöglicht. Bauseitig müssen Vor- und Rücklauf der Heizungsanlage an den oben mittig aus der Reco-Boxx ZXA herausgeführten Edelstahl-Wellschläuchen angeschlossen werden. Die Regelung moduliert über ein in der Reco-Boxx ZXA integriertes 3-Wege-Mischventil die Wassermenge des Nachheizregisters in Abhängigkeit der Vorlauftemperatur, der Temperatur nach dem Luft-Wärmetauscher und dem eingestellten Sollwert der Zulufttemperatur. Über das Wasser-/Luft-Nachheizregister kann i. d. R. nicht die komplette Heizlast des Gebäudes gedeckt werden. Es ist als Komfort-Zulufttemperaturerhöhung gedacht.</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3700 ZXA-R / WN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Wasser-Nachheizregister  / Rechtsausführung: Zuluft- und Abluftanschluss rechts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400 m³/h / 3.700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2590 m³/h (0,72 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1.000 m³/h / 2.000 m³/h / 3.000 m³/h / 200 Pa / 200 Pa / 200 Pa / 362 W / 699 W / 1.319 W / 93,8 % / 91,4 % / 89,9 %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12,7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 A / D-10kA-3AC</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galvanisch verzinkt, außen lackiert. Wärmedämmung: 50 mm.</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anthrazitgrau, ähnlich RAL 7016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670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 60% / ePM10 50%;  optional Vorfilter ISO coarse &gt;60%</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800 mm x 300 mm</w:t>
            </w:r>
          </w:p>
        </w:tc>
      </w:tr>
      <w:tr>
        <w:trPr/>
        <w:tc>
          <w:tcPr>
            <w:tcW w:w="3000" w:type="dxa"/>
          </w:tcPr>
          <w:p>
            <w:r>
              <w:rPr>
                <w:rFonts w:ascii="Arial" w:hAnsi="Arial" w:eastAsia="Arial" w:cs="Arial"/>
                <w:sz w:val="20"/>
                <w:szCs w:val="20"/>
              </w:rPr>
              <w:t xml:space="preserve">Flanschbreite:</w:t>
            </w:r>
          </w:p>
        </w:tc>
        <w:tc>
          <w:tcPr>
            <w:tcW w:w="3000" w:type="dxa"/>
          </w:tcPr>
          <w:p>
            <w:pPr>
              <w:jc w:val="right"/>
              <w:spacing w:before="0" w:after="0.1"/>
            </w:pPr>
            <w:r>
              <w:rPr>
                <w:rFonts w:ascii="Arial" w:hAnsi="Arial" w:eastAsia="Arial" w:cs="Arial"/>
                <w:sz w:val="20"/>
                <w:szCs w:val="20"/>
              </w:rPr>
              <w:t xml:space="preserve">20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1.960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1.725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1.382 mm</w:t>
            </w:r>
          </w:p>
        </w:tc>
      </w:tr>
      <w:tr>
        <w:trPr/>
        <w:tc>
          <w:tcPr>
            <w:tcW w:w="3000" w:type="dxa"/>
          </w:tcPr>
          <w:p>
            <w:r>
              <w:rPr>
                <w:rFonts w:ascii="Arial" w:hAnsi="Arial" w:eastAsia="Arial" w:cs="Arial"/>
                <w:sz w:val="20"/>
                <w:szCs w:val="20"/>
              </w:rPr>
              <w:t xml:space="preserve">Fördermitteltemperatur: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max. Heizleistung WN (PWW-Heizregister):</w:t>
            </w:r>
          </w:p>
        </w:tc>
        <w:tc>
          <w:tcPr>
            <w:tcW w:w="3000" w:type="dxa"/>
          </w:tcPr>
          <w:p>
            <w:pPr>
              <w:jc w:val="right"/>
              <w:spacing w:before="0" w:after="0.1"/>
            </w:pPr>
            <w:r>
              <w:rPr>
                <w:rFonts w:ascii="Arial" w:hAnsi="Arial" w:eastAsia="Arial" w:cs="Arial"/>
                <w:sz w:val="20"/>
                <w:szCs w:val="20"/>
              </w:rPr>
              <w:t xml:space="preserve">43.000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83% nominal nach ErP (ohne Kondensation)</w:t>
            </w:r>
          </w:p>
        </w:tc>
      </w:tr>
      <w:tr>
        <w:trPr/>
        <w:tc>
          <w:tcPr>
            <w:tcW w:w="3000" w:type="dxa"/>
          </w:tcPr>
          <w:p>
            <w:r>
              <w:rPr>
                <w:rFonts w:ascii="Arial" w:hAnsi="Arial" w:eastAsia="Arial" w:cs="Arial"/>
                <w:sz w:val="20"/>
                <w:szCs w:val="20"/>
              </w:rPr>
              <w:t xml:space="preserve">Druckreserve Max:</w:t>
            </w:r>
          </w:p>
        </w:tc>
        <w:tc>
          <w:tcPr>
            <w:tcW w:w="3000" w:type="dxa"/>
          </w:tcPr>
          <w:p>
            <w:pPr>
              <w:jc w:val="right"/>
              <w:spacing w:before="0" w:after="0.1"/>
            </w:pPr>
            <w:r>
              <w:rPr>
                <w:rFonts w:ascii="Arial" w:hAnsi="Arial" w:eastAsia="Arial" w:cs="Arial"/>
                <w:sz w:val="20"/>
                <w:szCs w:val="20"/>
              </w:rPr>
              <w:t xml:space="preserve">980 Pa</w:t>
            </w:r>
          </w:p>
        </w:tc>
      </w:tr>
      <w:tr>
        <w:trPr/>
        <w:tc>
          <w:tcPr>
            <w:tcW w:w="3000" w:type="dxa"/>
          </w:tcPr>
          <w:p>
            <w:r>
              <w:rPr>
                <w:rFonts w:ascii="Arial" w:hAnsi="Arial" w:eastAsia="Arial" w:cs="Arial"/>
                <w:sz w:val="20"/>
                <w:szCs w:val="20"/>
              </w:rPr>
              <w:t xml:space="preserve">Druckreserve Min:</w:t>
            </w:r>
          </w:p>
        </w:tc>
        <w:tc>
          <w:tcPr>
            <w:tcW w:w="3000" w:type="dxa"/>
          </w:tcPr>
          <w:p>
            <w:pPr>
              <w:jc w:val="right"/>
              <w:spacing w:before="0" w:after="0.1"/>
            </w:pPr>
            <w:r>
              <w:rPr>
                <w:rFonts w:ascii="Arial" w:hAnsi="Arial" w:eastAsia="Arial" w:cs="Arial"/>
                <w:sz w:val="20"/>
                <w:szCs w:val="20"/>
              </w:rPr>
              <w:t xml:space="preserve">360 Pa</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T3/TB2/F9/L2/D1 (opt. T2/TB2)</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0040.1347</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3700 ZXA-R / WN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2024-06-02T12:35:00+00:00</dcterms:created>
  <dcterms:modified xsi:type="dcterms:W3CDTF">2024-06-02T12:35:00+00:00</dcterms:modified>
</cp:coreProperties>
</file>

<file path=docProps/custom.xml><?xml version="1.0" encoding="utf-8"?>
<Properties xmlns="http://schemas.openxmlformats.org/officeDocument/2006/custom-properties" xmlns:vt="http://schemas.openxmlformats.org/officeDocument/2006/docPropsVTypes"/>
</file>