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Verschlussklappe, motorisch VM-AUL 1000-400</w:t>
      </w:r>
    </w:p>
    <w:p>
      <w:pPr/>
      <w:r>
        <w:rPr>
          <w:rFonts w:ascii="Arial" w:hAnsi="Arial" w:eastAsia="Arial" w:cs="Arial"/>
          <w:sz w:val="24"/>
          <w:szCs w:val="24"/>
        </w:rPr>
        <w:t xml:space="preserve">Motorische Verschlussklappen mit und ohne Federrücklauf.</w:t>
      </w:r>
    </w:p>
    <w:p>
      <w:pPr/>
      <w:r>
        <w:rPr>
          <w:rFonts w:ascii="Arial" w:hAnsi="Arial" w:eastAsia="Arial" w:cs="Arial"/>
          <w:sz w:val="24"/>
          <w:szCs w:val="24"/>
        </w:rPr>
        <w:t xml:space="preserve">Positionierbar in der Außenluftleitung (AUL), oder Fortluftleitung (FOL). Integrierte Anlaufverzögerung der Ventilatoren des Lüftungsgerätes beim Öffnen der Klappen sowie verzögertes Schließen der Klappen erst nach Stopp der Ventilatoren. Bei Stillstand der Anlage wird somit Zugluft durch Auftrieb verhindert. Der Rahmen und die strömungsgünstig geformten und dicht schließenden Lamellen bestehen aus verzinktem Stahlblech.</w:t>
      </w:r>
    </w:p>
    <w:p>
      <w:pPr/>
      <w:r>
        <w:rPr>
          <w:rFonts w:ascii="Arial" w:hAnsi="Arial" w:eastAsia="Arial" w:cs="Arial"/>
          <w:sz w:val="24"/>
          <w:szCs w:val="24"/>
        </w:rPr>
        <w:t xml:space="preserve">Antrieb: 2-Punktantrieb (Auf/Zu). Optional mit Federrücklaufantrieb ausstattbar. Die Lamellen sind mit aussenliegenden Kunststoff-Zahnrädern gelagert.</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VM-AUL 1000-400</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Außenluft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1.000 mm x 400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0043.0927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VM-AUL 1000-400 Verschlussklappe, motorisch</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2024-06-02T15:57:54+00:00</dcterms:created>
  <dcterms:modified xsi:type="dcterms:W3CDTF">2024-06-02T15:57:54+00:00</dcterms:modified>
</cp:coreProperties>
</file>

<file path=docProps/custom.xml><?xml version="1.0" encoding="utf-8"?>
<Properties xmlns="http://schemas.openxmlformats.org/officeDocument/2006/custom-properties" xmlns:vt="http://schemas.openxmlformats.org/officeDocument/2006/docPropsVTypes"/>
</file>