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Abluftventil KSU-160</w:t>
      </w:r>
    </w:p>
    <w:p>
      <w:pPr/>
      <w:r>
        <w:rPr>
          <w:rFonts w:ascii="Arial" w:hAnsi="Arial" w:eastAsia="Arial" w:cs="Arial"/>
          <w:sz w:val="24"/>
          <w:szCs w:val="24"/>
        </w:rPr>
        <w:t xml:space="preserve">Das Abluftventil KSU weist selbst bei verhältnismäßig hohem Druckverlust einen niedrigen Schallleistungspegel auf. Für die Montage in Wickelfalzrohren empfehlen wir den Montagestutzen mit Doppellippendichtung VRGU und auf Formteilen VRGM (separat bestellen).</w:t>
      </w:r>
    </w:p>
    <w:p/>
    <w:p>
      <w:pPr/>
      <w:r>
        <w:rPr>
          <w:rFonts w:ascii="Arial" w:hAnsi="Arial" w:eastAsia="Arial" w:cs="Arial"/>
          <w:sz w:val="24"/>
          <w:szCs w:val="24"/>
        </w:rPr>
        <w:t xml:space="preserve">Technische Daten</w:t>
      </w:r>
    </w:p>
    <w:tbl>
      <w:tblGrid>
        <w:gridCol w:w="3000" w:type="dxa"/>
        <w:gridCol w:w="3000" w:type="dxa"/>
      </w:tblGrid>
      <w:tr>
        <w:trPr/>
        <w:tc>
          <w:tcPr>
            <w:tcW w:w="3000" w:type="dxa"/>
          </w:tcPr>
          <w:p>
            <w:r>
              <w:rPr>
                <w:rFonts w:ascii="Arial" w:hAnsi="Arial" w:eastAsia="Arial" w:cs="Arial"/>
                <w:sz w:val="20"/>
                <w:szCs w:val="20"/>
              </w:rPr>
              <w:t xml:space="preserve">Artikel:</w:t>
            </w:r>
          </w:p>
        </w:tc>
        <w:tc>
          <w:tcPr>
            <w:tcW w:w="3000" w:type="dxa"/>
          </w:tcPr>
          <w:p>
            <w:pPr>
              <w:jc w:val="right"/>
              <w:spacing w:before="0" w:after="0.1"/>
            </w:pPr>
            <w:r>
              <w:rPr>
                <w:rFonts w:ascii="Arial" w:hAnsi="Arial" w:eastAsia="Arial" w:cs="Arial"/>
                <w:sz w:val="20"/>
                <w:szCs w:val="20"/>
              </w:rPr>
              <w:t xml:space="preserve">KSU-160</w:t>
            </w:r>
          </w:p>
        </w:tc>
      </w:tr>
      <w:tr>
        <w:trPr/>
        <w:tc>
          <w:tcPr>
            <w:tcW w:w="3000" w:type="dxa"/>
          </w:tcPr>
          <w:p>
            <w:r>
              <w:rPr>
                <w:rFonts w:ascii="Arial" w:hAnsi="Arial" w:eastAsia="Arial" w:cs="Arial"/>
                <w:sz w:val="20"/>
                <w:szCs w:val="20"/>
              </w:rPr>
              <w:t xml:space="preserve">Luftrichtung:</w:t>
            </w:r>
          </w:p>
        </w:tc>
        <w:tc>
          <w:tcPr>
            <w:tcW w:w="3000" w:type="dxa"/>
          </w:tcPr>
          <w:p>
            <w:pPr>
              <w:jc w:val="right"/>
              <w:spacing w:before="0" w:after="0.1"/>
            </w:pPr>
            <w:r>
              <w:rPr>
                <w:rFonts w:ascii="Arial" w:hAnsi="Arial" w:eastAsia="Arial" w:cs="Arial"/>
                <w:sz w:val="20"/>
                <w:szCs w:val="20"/>
              </w:rPr>
              <w:t xml:space="preserve">Abluft</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Stahlblech, einbrennlackiert</w:t>
            </w:r>
          </w:p>
        </w:tc>
      </w:tr>
      <w:tr>
        <w:trPr/>
        <w:tc>
          <w:tcPr>
            <w:tcW w:w="3000" w:type="dxa"/>
          </w:tcPr>
          <w:p>
            <w:r>
              <w:rPr>
                <w:rFonts w:ascii="Arial" w:hAnsi="Arial" w:eastAsia="Arial" w:cs="Arial"/>
                <w:sz w:val="20"/>
                <w:szCs w:val="20"/>
              </w:rPr>
              <w:t xml:space="preserve">Farbe:</w:t>
            </w:r>
          </w:p>
        </w:tc>
        <w:tc>
          <w:tcPr>
            <w:tcW w:w="3000" w:type="dxa"/>
          </w:tcPr>
          <w:p>
            <w:pPr>
              <w:jc w:val="right"/>
              <w:spacing w:before="0" w:after="0.1"/>
            </w:pPr>
            <w:r>
              <w:rPr>
                <w:rFonts w:ascii="Arial" w:hAnsi="Arial" w:eastAsia="Arial" w:cs="Arial"/>
                <w:sz w:val="20"/>
                <w:szCs w:val="20"/>
              </w:rPr>
              <w:t xml:space="preserve">weiß, ähnlich RAL 9010</w:t>
            </w:r>
          </w:p>
        </w:tc>
      </w:tr>
      <w:tr>
        <w:trPr/>
        <w:tc>
          <w:tcPr>
            <w:tcW w:w="3000" w:type="dxa"/>
          </w:tcPr>
          <w:p>
            <w:r>
              <w:rPr>
                <w:rFonts w:ascii="Arial" w:hAnsi="Arial" w:eastAsia="Arial" w:cs="Arial"/>
                <w:sz w:val="20"/>
                <w:szCs w:val="20"/>
              </w:rPr>
              <w:t xml:space="preserve">Gewicht mit Verpackung:</w:t>
            </w:r>
          </w:p>
        </w:tc>
        <w:tc>
          <w:tcPr>
            <w:tcW w:w="3000" w:type="dxa"/>
          </w:tcPr>
          <w:p>
            <w:pPr>
              <w:jc w:val="right"/>
              <w:spacing w:before="0" w:after="0.1"/>
            </w:pPr>
            <w:r>
              <w:rPr>
                <w:rFonts w:ascii="Arial" w:hAnsi="Arial" w:eastAsia="Arial" w:cs="Arial"/>
                <w:sz w:val="20"/>
                <w:szCs w:val="20"/>
              </w:rPr>
              <w:t xml:space="preserve">0,538 kg</w:t>
            </w:r>
          </w:p>
        </w:tc>
      </w:tr>
      <w:tr>
        <w:trPr/>
        <w:tc>
          <w:tcPr>
            <w:tcW w:w="3000" w:type="dxa"/>
          </w:tcPr>
          <w:p>
            <w:r>
              <w:rPr>
                <w:rFonts w:ascii="Arial" w:hAnsi="Arial" w:eastAsia="Arial" w:cs="Arial"/>
                <w:sz w:val="20"/>
                <w:szCs w:val="20"/>
              </w:rPr>
              <w:t xml:space="preserve">Nennweite:</w:t>
            </w:r>
          </w:p>
        </w:tc>
        <w:tc>
          <w:tcPr>
            <w:tcW w:w="3000" w:type="dxa"/>
          </w:tcPr>
          <w:p>
            <w:pPr>
              <w:jc w:val="right"/>
              <w:spacing w:before="0" w:after="0.1"/>
            </w:pPr>
            <w:r>
              <w:rPr>
                <w:rFonts w:ascii="Arial" w:hAnsi="Arial" w:eastAsia="Arial" w:cs="Arial"/>
                <w:sz w:val="20"/>
                <w:szCs w:val="20"/>
              </w:rPr>
              <w:t xml:space="preserve">160 mm</w:t>
            </w:r>
          </w:p>
        </w:tc>
      </w:tr>
      <w:tr>
        <w:trPr/>
        <w:tc>
          <w:tcPr>
            <w:tcW w:w="3000" w:type="dxa"/>
          </w:tcPr>
          <w:p>
            <w:r>
              <w:rPr>
                <w:rFonts w:ascii="Arial" w:hAnsi="Arial" w:eastAsia="Arial" w:cs="Arial"/>
                <w:sz w:val="20"/>
                <w:szCs w:val="20"/>
              </w:rPr>
              <w:t xml:space="preserve">Randdurchmesser:</w:t>
            </w:r>
          </w:p>
        </w:tc>
        <w:tc>
          <w:tcPr>
            <w:tcW w:w="3000" w:type="dxa"/>
          </w:tcPr>
          <w:p>
            <w:pPr>
              <w:jc w:val="right"/>
              <w:spacing w:before="0" w:after="0.1"/>
            </w:pPr>
            <w:r>
              <w:rPr>
                <w:rFonts w:ascii="Arial" w:hAnsi="Arial" w:eastAsia="Arial" w:cs="Arial"/>
                <w:sz w:val="20"/>
                <w:szCs w:val="20"/>
              </w:rPr>
              <w:t xml:space="preserve">191 mm</w:t>
            </w:r>
          </w:p>
        </w:tc>
      </w:tr>
      <w:tr>
        <w:trPr/>
        <w:tc>
          <w:tcPr>
            <w:tcW w:w="3000" w:type="dxa"/>
          </w:tcPr>
          <w:p>
            <w:r>
              <w:rPr>
                <w:rFonts w:ascii="Arial" w:hAnsi="Arial" w:eastAsia="Arial" w:cs="Arial"/>
                <w:sz w:val="20"/>
                <w:szCs w:val="20"/>
              </w:rPr>
              <w:t xml:space="preserve">Breite mit Verpackung: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Höhe mit Verpackung:</w:t>
            </w:r>
          </w:p>
        </w:tc>
        <w:tc>
          <w:tcPr>
            <w:tcW w:w="3000" w:type="dxa"/>
          </w:tcPr>
          <w:p>
            <w:pPr>
              <w:jc w:val="right"/>
              <w:spacing w:before="0" w:after="0.1"/>
            </w:pPr>
            <w:r>
              <w:rPr>
                <w:rFonts w:ascii="Arial" w:hAnsi="Arial" w:eastAsia="Arial" w:cs="Arial"/>
                <w:sz w:val="20"/>
                <w:szCs w:val="20"/>
              </w:rPr>
              <w:t xml:space="preserve">110 mm</w:t>
            </w:r>
          </w:p>
        </w:tc>
      </w:tr>
      <w:tr>
        <w:trPr/>
        <w:tc>
          <w:tcPr>
            <w:tcW w:w="3000" w:type="dxa"/>
          </w:tcPr>
          <w:p>
            <w:r>
              <w:rPr>
                <w:rFonts w:ascii="Arial" w:hAnsi="Arial" w:eastAsia="Arial" w:cs="Arial"/>
                <w:sz w:val="20"/>
                <w:szCs w:val="20"/>
              </w:rPr>
              <w:t xml:space="preserve">Tiefe mit Verpackung:</w:t>
            </w:r>
          </w:p>
        </w:tc>
        <w:tc>
          <w:tcPr>
            <w:tcW w:w="3000" w:type="dxa"/>
          </w:tcPr>
          <w:p>
            <w:pPr>
              <w:jc w:val="right"/>
              <w:spacing w:before="0" w:after="0.1"/>
            </w:pPr>
            <w:r>
              <w:rPr>
                <w:rFonts w:ascii="Arial" w:hAnsi="Arial" w:eastAsia="Arial" w:cs="Arial"/>
                <w:sz w:val="20"/>
                <w:szCs w:val="20"/>
              </w:rPr>
              <w:t xml:space="preserve">200 mm</w:t>
            </w:r>
          </w:p>
        </w:tc>
      </w:tr>
      <w:tr>
        <w:trPr/>
        <w:tc>
          <w:tcPr>
            <w:tcW w:w="3000" w:type="dxa"/>
          </w:tcPr>
          <w:p>
            <w:r>
              <w:rPr>
                <w:rFonts w:ascii="Arial" w:hAnsi="Arial" w:eastAsia="Arial" w:cs="Arial"/>
                <w:sz w:val="20"/>
                <w:szCs w:val="20"/>
              </w:rPr>
              <w:t xml:space="preserve">Verpackungseinheit:</w:t>
            </w:r>
          </w:p>
        </w:tc>
        <w:tc>
          <w:tcPr>
            <w:tcW w:w="3000" w:type="dxa"/>
          </w:tcPr>
          <w:p>
            <w:pPr>
              <w:jc w:val="right"/>
              <w:spacing w:before="0" w:after="0.1"/>
            </w:pPr>
            <w:r>
              <w:rPr>
                <w:rFonts w:ascii="Arial" w:hAnsi="Arial" w:eastAsia="Arial" w:cs="Arial"/>
                <w:sz w:val="20"/>
                <w:szCs w:val="20"/>
              </w:rPr>
              <w:t xml:space="preserve">1 Stück</w:t>
            </w:r>
          </w:p>
        </w:tc>
      </w:tr>
      <w:tr>
        <w:trPr/>
        <w:tc>
          <w:tcPr>
            <w:tcW w:w="3000" w:type="dxa"/>
          </w:tcPr>
          <w:p>
            <w:r>
              <w:rPr>
                <w:rFonts w:ascii="Arial" w:hAnsi="Arial" w:eastAsia="Arial" w:cs="Arial"/>
                <w:sz w:val="20"/>
                <w:szCs w:val="20"/>
              </w:rPr>
              <w:t xml:space="preserve">Sortiment:</w:t>
            </w:r>
          </w:p>
        </w:tc>
        <w:tc>
          <w:tcPr>
            <w:tcW w:w="3000" w:type="dxa"/>
          </w:tcPr>
          <w:p>
            <w:pPr>
              <w:jc w:val="right"/>
              <w:spacing w:before="0" w:after="0.1"/>
            </w:pPr>
            <w:r>
              <w:rPr>
                <w:rFonts w:ascii="Arial" w:hAnsi="Arial" w:eastAsia="Arial" w:cs="Arial"/>
                <w:sz w:val="20"/>
                <w:szCs w:val="20"/>
              </w:rPr>
              <w:t xml:space="preserve">22</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4045314440070</w:t>
            </w:r>
          </w:p>
        </w:tc>
      </w:tr>
      <w:tr>
        <w:trPr/>
        <w:tc>
          <w:tcPr>
            <w:tcW w:w="3000" w:type="dxa"/>
          </w:tcPr>
          <w:p>
            <w:r>
              <w:rPr>
                <w:rFonts w:ascii="Arial" w:hAnsi="Arial" w:eastAsia="Arial" w:cs="Arial"/>
                <w:sz w:val="20"/>
                <w:szCs w:val="20"/>
              </w:rPr>
              <w:t xml:space="preserve">Artikelnummer:</w:t>
            </w:r>
          </w:p>
        </w:tc>
        <w:tc>
          <w:tcPr>
            <w:tcW w:w="3000" w:type="dxa"/>
          </w:tcPr>
          <w:p>
            <w:pPr>
              <w:jc w:val="right"/>
              <w:spacing w:before="0" w:after="0.1"/>
            </w:pPr>
            <w:r>
              <w:rPr>
                <w:rFonts w:ascii="Arial" w:hAnsi="Arial" w:eastAsia="Arial" w:cs="Arial"/>
                <w:sz w:val="20"/>
                <w:szCs w:val="20"/>
              </w:rPr>
              <w:t xml:space="preserve">0044.0007</w:t>
            </w:r>
          </w:p>
        </w:tc>
      </w:tr>
    </w:tbl>
    <w:p>
      <w:pPr/>
      <w:r>
        <w:rPr>
          <w:rFonts w:ascii="Arial" w:hAnsi="Arial" w:eastAsia="Arial" w:cs="Arial"/>
          <w:sz w:val="24"/>
          <w:szCs w:val="24"/>
        </w:rPr>
        <w:t xml:space="preserve">Hersteller: AEREX</w:t>
      </w:r>
    </w:p>
    <w:p>
      <w:pPr/>
      <w:r>
        <w:rPr>
          <w:rFonts w:ascii="Arial" w:hAnsi="Arial" w:eastAsia="Arial" w:cs="Arial"/>
          <w:sz w:val="24"/>
          <w:szCs w:val="24"/>
        </w:rPr>
        <w:t xml:space="preserve">KSU-160 Abluftventil</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2024-04-24T18:58:42+00:00</dcterms:created>
  <dcterms:modified xsi:type="dcterms:W3CDTF">2024-04-24T18:58:42+00:00</dcterms:modified>
</cp:coreProperties>
</file>

<file path=docProps/custom.xml><?xml version="1.0" encoding="utf-8"?>
<Properties xmlns="http://schemas.openxmlformats.org/officeDocument/2006/custom-properties" xmlns:vt="http://schemas.openxmlformats.org/officeDocument/2006/docPropsVTypes"/>
</file>