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1000 Flat-R</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Extrem flache Bauweise für Deckenmontage.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(ePM 2,5 70%) für Außenluft und M5 (ePM 10 65%) für Abluft. Geerdetes Gehäuse in Kompaktbauweise aus Aluminiumprofilen und wärmegedämmten, doppelwandigen Sandwichelementen, innen verzinkt, außen pulverbeschichtet in RAL 9002, von unten revisionierbar.</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 von einem WRG-Gerät Aerex Reco-Boxx ZXR, ZXA, Flat oder CRB.</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Bei druckkonstantem Betrieb ist ein externer Drucksensor z.B. DDT 500 (Art.-Nr. 0043.0597) notwendig.</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wärmegedämmten, doppelwandigen</w:t>
      </w:r>
    </w:p>
    <w:p>
      <w:pPr/>
      <w:r>
        <w:rPr>
          <w:rFonts w:ascii="Arial" w:hAnsi="Arial" w:eastAsia="Arial" w:cs="Arial"/>
          <w:sz w:val="24"/>
          <w:szCs w:val="24"/>
        </w:rPr>
        <w:t xml:space="preserve">Sandwichelementen, innen verzinkt, außen pulverbeschichtet.</w:t>
      </w:r>
    </w:p>
    <w:p>
      <w:pPr/>
      <w:r>
        <w:rPr>
          <w:rFonts w:ascii="Arial" w:hAnsi="Arial" w:eastAsia="Arial" w:cs="Arial"/>
          <w:sz w:val="24"/>
          <w:szCs w:val="24"/>
        </w:rPr>
        <w:t xml:space="preserve">Ausführung Anschlussstutzen: rund, bei Reco-Boxx 1600 Flat und 2000 Flat AU/AB eckig. Passende Segeltuchstutzen sind separat zu bestellen.</w:t>
      </w:r>
    </w:p>
    <w:p>
      <w:pPr/>
      <w:r>
        <w:rPr>
          <w:rFonts w:ascii="Arial" w:hAnsi="Arial" w:eastAsia="Arial" w:cs="Arial"/>
          <w:sz w:val="24"/>
          <w:szCs w:val="24"/>
        </w:rPr>
        <w:t xml:space="preserve">Filterkonzept: Außenluft: Feinfilter F7, Abluft: Feinfilter M5.</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Integrierte Kondensatpumpe.</w:t>
      </w:r>
    </w:p>
    <w:p>
      <w:pPr/>
      <w:r>
        <w:rPr>
          <w:rFonts w:ascii="Arial" w:hAnsi="Arial" w:eastAsia="Arial" w:cs="Arial"/>
          <w:sz w:val="24"/>
          <w:szCs w:val="24"/>
        </w:rPr>
        <w:t xml:space="preserve">Edelstahlkondensatwanne.</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SAT KNX, SAT ETHERNET oder SAT WiFi (optionales Zubehör).</w:t>
      </w:r>
    </w:p>
    <w:p>
      <w:pPr/>
      <w:r>
        <w:rPr>
          <w:rFonts w:ascii="Arial" w:hAnsi="Arial" w:eastAsia="Arial" w:cs="Arial"/>
          <w:sz w:val="24"/>
          <w:szCs w:val="24"/>
        </w:rPr>
        <w:t xml:space="preserve">Ausführung für Innenaufhängung.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Externe Heiz- oder Kühlregister [NHKR].</w:t>
      </w:r>
    </w:p>
    <w:p/>
    <w:p>
      <w:pPr/>
      <w:r>
        <w:rPr>
          <w:rFonts w:ascii="Arial" w:hAnsi="Arial" w:eastAsia="Arial" w:cs="Arial"/>
          <w:sz w:val="24"/>
          <w:szCs w:val="24"/>
        </w:rPr>
        <w:t xml:space="preserve"/>
      </w:r>
    </w:p>
    <w:p>
      <w:pPr/>
      <w:r>
        <w:rPr>
          <w:rFonts w:ascii="Arial" w:hAnsi="Arial" w:eastAsia="Arial" w:cs="Arial"/>
          <w:sz w:val="24"/>
          <w:szCs w:val="24"/>
        </w:rPr>
        <w:t xml:space="preserve">Die Reco-Boxx Modellreihe Flat wird mit CEE-Stecker steckerfertig komplett verkabelt und geerdet mit der Regelung (CTR-i/o-Modul) und Hauptschalter/Reparaturschalter stückgeprüft ausgeliefert. Dies schließt alle notwendigen Teile wie Temperaturfühler, Ventilatoren, Controller, Hauptschalter und Antrieb der Bypass-Klappe sowie das optionale Heizregister für die Elektro-Vorheizung [EV] ein. Lediglich das zur Bedienung notwendige Steuermodul z.B. Touchpanel TP-Touch, Interface SAT KNX, Interface SAT MODBUS, Interface SAT ETHERNET oder Interface SAT und im druckkonstanten Betrieb ein bzw. zwei notwendige(r) externe(r) Drucksensor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werkseitig vorverdrahtet.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vom optionalen Heizregister [EV].</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(Heiz- und / oder Kühlfunktion)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Ausführung:</w:t>
      </w:r>
    </w:p>
    <w:p>
      <w:pPr/>
      <w:r>
        <w:rPr>
          <w:rFonts w:ascii="Arial" w:hAnsi="Arial" w:eastAsia="Arial" w:cs="Arial"/>
          <w:sz w:val="24"/>
          <w:szCs w:val="24"/>
        </w:rPr>
        <w:t xml:space="preserve">Rechtsausführung (-R): Zuluft- und Abluftanschluss rechts, Außen- und Fortluftanschluss links.</w:t>
      </w:r>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1000 Flat-R</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Standard/ohne Heizregister  / Rechtsausführung: Zuluft- und Abluftanschluss rechts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300 m³/h / 1.000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1148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300 m³/h / 600 m³/h / 1.000 m³/h / 100 Pa / 150 Pa / 150 Pa / 110 W / 353 W / 910 W / 620 Pa / 480 Pa / 220 Pa / 95 % / 93 % / 91 %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6,6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Deckenaufhängung, Innen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lackiert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170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180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Fein- / Feinfilter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65% (M5) / ePM2,5 70% (F7)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6 mm Innendurchmesser (Schlauch), Integrierte Kondensatpumpe, Förderhöhe 6,0 m, max. 14L/h</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1.550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1.155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1.800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4045314404430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0040.0443</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1000 Flat-R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2024-04-27T00:19:40+00:00</dcterms:created>
  <dcterms:modified xsi:type="dcterms:W3CDTF">2024-04-27T00:19:40+00:00</dcterms:modified>
</cp:coreProperties>
</file>

<file path=docProps/custom.xml><?xml version="1.0" encoding="utf-8"?>
<Properties xmlns="http://schemas.openxmlformats.org/officeDocument/2006/custom-properties" xmlns:vt="http://schemas.openxmlformats.org/officeDocument/2006/docPropsVTypes"/>
</file>